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0307EE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E7935">
        <w:rPr>
          <w:b/>
          <w:noProof/>
          <w:sz w:val="24"/>
          <w:lang w:val="en-US"/>
        </w:rPr>
        <w:t>7</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A248B7">
        <w:rPr>
          <w:b/>
          <w:noProof/>
          <w:sz w:val="24"/>
          <w:lang w:val="en-US"/>
        </w:rPr>
        <w:t>4</w:t>
      </w:r>
      <w:r w:rsidR="00064A19">
        <w:rPr>
          <w:b/>
          <w:noProof/>
          <w:sz w:val="24"/>
          <w:lang w:val="en-US"/>
        </w:rPr>
        <w:t>506</w:t>
      </w:r>
    </w:p>
    <w:p w14:paraId="351CA33D" w14:textId="20BB135B"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AE7935">
        <w:rPr>
          <w:rFonts w:ascii="Arial" w:eastAsia="MS Mincho" w:hAnsi="Arial"/>
          <w:b/>
          <w:noProof/>
          <w:sz w:val="24"/>
        </w:rPr>
        <w:t>August</w:t>
      </w:r>
      <w:r w:rsidR="00C65FAE">
        <w:rPr>
          <w:rFonts w:ascii="Arial" w:eastAsia="MS Mincho" w:hAnsi="Arial"/>
          <w:b/>
          <w:noProof/>
          <w:sz w:val="24"/>
        </w:rPr>
        <w:t xml:space="preserve"> </w:t>
      </w:r>
      <w:r w:rsidR="00AE7935">
        <w:rPr>
          <w:rFonts w:ascii="Arial" w:eastAsia="MS Mincho" w:hAnsi="Arial"/>
          <w:b/>
          <w:noProof/>
          <w:sz w:val="24"/>
        </w:rPr>
        <w:t>15</w:t>
      </w:r>
      <w:r w:rsidR="000C416C">
        <w:rPr>
          <w:rFonts w:ascii="Arial" w:eastAsia="MS Mincho" w:hAnsi="Arial"/>
          <w:b/>
          <w:noProof/>
          <w:sz w:val="24"/>
        </w:rPr>
        <w:t xml:space="preserve"> – </w:t>
      </w:r>
      <w:r w:rsidR="00860820">
        <w:rPr>
          <w:rFonts w:ascii="Arial" w:eastAsia="MS Mincho" w:hAnsi="Arial"/>
          <w:b/>
          <w:noProof/>
          <w:sz w:val="24"/>
        </w:rPr>
        <w:t>2</w:t>
      </w:r>
      <w:r w:rsidR="00AE7935">
        <w:rPr>
          <w:rFonts w:ascii="Arial" w:eastAsia="MS Mincho" w:hAnsi="Arial"/>
          <w:b/>
          <w:noProof/>
          <w:sz w:val="24"/>
        </w:rPr>
        <w:t>6</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886518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460EF">
        <w:rPr>
          <w:sz w:val="24"/>
          <w:lang w:val="pt-PT"/>
        </w:rPr>
        <w:t>13.4</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E1BD8EB"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bookmarkStart w:id="0" w:name="OLE_LINK2"/>
      <w:r w:rsidR="006F62AC">
        <w:rPr>
          <w:rFonts w:ascii="Arial" w:hAnsi="Arial"/>
          <w:sz w:val="24"/>
        </w:rPr>
        <w:t>PCI collision avoidance for mobile IAB</w:t>
      </w:r>
      <w:bookmarkEnd w:id="0"/>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701FB8C7" w:rsidR="00B65E42" w:rsidRDefault="00D80F5E" w:rsidP="006600CD">
      <w:pPr>
        <w:spacing w:after="0"/>
      </w:pPr>
      <w:r>
        <w:t>The WID on Rel-18 mobile IAB holds the following objective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80149EE" w14:textId="73395F02" w:rsidR="00B65E42" w:rsidRPr="00651930" w:rsidRDefault="00651930" w:rsidP="00651930">
            <w:pPr>
              <w:pStyle w:val="maintext"/>
              <w:numPr>
                <w:ilvl w:val="0"/>
                <w:numId w:val="27"/>
              </w:numPr>
              <w:spacing w:before="120" w:after="120" w:line="240" w:lineRule="auto"/>
              <w:ind w:firstLineChars="0"/>
              <w:rPr>
                <w:rFonts w:eastAsia="Times New Roman" w:cs="Times New Roman"/>
                <w:lang w:eastAsia="en-US"/>
              </w:rPr>
            </w:pPr>
            <w:r w:rsidRPr="00651930">
              <w:rPr>
                <w:rFonts w:eastAsia="Times New Roman" w:cs="Times New Roman"/>
                <w:lang w:eastAsia="en-US"/>
              </w:rPr>
              <w:t>Mitigation of interference due to IAB-node mobility, including the avoidance of potential reference and control signal collisions (</w:t>
            </w:r>
            <w:proofErr w:type="gramStart"/>
            <w:r w:rsidRPr="00651930">
              <w:rPr>
                <w:rFonts w:eastAsia="Times New Roman" w:cs="Times New Roman"/>
                <w:lang w:eastAsia="en-US"/>
              </w:rPr>
              <w:t>e.g.</w:t>
            </w:r>
            <w:proofErr w:type="gramEnd"/>
            <w:r w:rsidRPr="00651930">
              <w:rPr>
                <w:rFonts w:eastAsia="Times New Roman" w:cs="Times New Roman"/>
                <w:lang w:eastAsia="en-US"/>
              </w:rPr>
              <w:t xml:space="preserve"> PCI, RACH)</w:t>
            </w:r>
          </w:p>
        </w:tc>
      </w:tr>
    </w:tbl>
    <w:p w14:paraId="5CA0210C" w14:textId="77777777" w:rsidR="00B65E42" w:rsidRDefault="00B65E42" w:rsidP="006600CD">
      <w:pPr>
        <w:spacing w:after="0"/>
      </w:pPr>
    </w:p>
    <w:p w14:paraId="662C4159" w14:textId="4EEECFC6" w:rsidR="00F705E6" w:rsidRDefault="00D80F5E" w:rsidP="00F705E6">
      <w:pPr>
        <w:spacing w:after="0"/>
      </w:pPr>
      <w:r>
        <w:t xml:space="preserve">This contribution discusses </w:t>
      </w:r>
      <w:r w:rsidR="00651930">
        <w:t>PCI collision avoidance for mobile IAB</w:t>
      </w:r>
      <w:r>
        <w:t xml:space="preserve"> in support of this objective.</w:t>
      </w:r>
      <w:r w:rsidR="00F705E6">
        <w:t xml:space="preserve"> </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6C884C16" w14:textId="1324EDB7" w:rsidR="000B2CBF" w:rsidRDefault="000B2CBF" w:rsidP="003A5C13">
      <w:pPr>
        <w:spacing w:after="120"/>
      </w:pPr>
      <w:r>
        <w:t xml:space="preserve">Mobile IAB can operate in-band and out-of-band with respect to the stationary network. For in-band operation, </w:t>
      </w:r>
      <w:r w:rsidR="00FA22EE">
        <w:t>t</w:t>
      </w:r>
      <w:r>
        <w:t>he WID does not preclude deployment scenarios</w:t>
      </w:r>
      <w:r w:rsidR="00446F14">
        <w:t>,</w:t>
      </w:r>
      <w:r>
        <w:t xml:space="preserve"> where mobile-IAB-nodes and stationary network use the same frequency. In this case, PCI collisions can easily occur, especially in scenarios where the mobile-IAB-node travels larger distance. </w:t>
      </w:r>
    </w:p>
    <w:p w14:paraId="71049DDA" w14:textId="4924BBBA" w:rsidR="000B2CBF" w:rsidRDefault="000B2CBF" w:rsidP="003A5C13">
      <w:pPr>
        <w:spacing w:after="120"/>
      </w:pPr>
      <w:r>
        <w:t>Even for out-of-band scenarios and for scenarios</w:t>
      </w:r>
      <w:r w:rsidR="00FA22EE">
        <w:t>,</w:t>
      </w:r>
      <w:r>
        <w:t xml:space="preserve"> where the mobile-IAB-nodes use a different (set of) frequencies as the stationary network, PCI collision can occur between mobile IAB-nodes that come into close </w:t>
      </w:r>
      <w:r w:rsidR="008077ED">
        <w:t xml:space="preserve">mutual </w:t>
      </w:r>
      <w:r>
        <w:t>vicinity.</w:t>
      </w:r>
    </w:p>
    <w:p w14:paraId="1F412609" w14:textId="4DA50925" w:rsidR="000B2CBF" w:rsidRPr="000B2CBF" w:rsidRDefault="000B2CBF" w:rsidP="003A5C13">
      <w:pPr>
        <w:spacing w:after="120"/>
        <w:rPr>
          <w:b/>
          <w:bCs/>
        </w:rPr>
      </w:pPr>
      <w:r w:rsidRPr="000B2CBF">
        <w:rPr>
          <w:b/>
          <w:bCs/>
        </w:rPr>
        <w:t xml:space="preserve">Observation 1: PCI collisions are likely to occur between mobile-IAB-node and stationary network for in-band use cases. </w:t>
      </w:r>
    </w:p>
    <w:p w14:paraId="251EDC0B" w14:textId="42773491" w:rsidR="000B2CBF" w:rsidRPr="000B2CBF" w:rsidRDefault="000B2CBF" w:rsidP="000B2CBF">
      <w:pPr>
        <w:spacing w:after="120"/>
        <w:rPr>
          <w:b/>
          <w:bCs/>
        </w:rPr>
      </w:pPr>
      <w:r w:rsidRPr="000B2CBF">
        <w:rPr>
          <w:b/>
          <w:bCs/>
        </w:rPr>
        <w:t xml:space="preserve">Observation 2: PCI collisions are likely to occur between mobile-IAB-nodes if they approach close vicinity. </w:t>
      </w:r>
    </w:p>
    <w:p w14:paraId="1FA3DE34" w14:textId="77777777" w:rsidR="00C95170" w:rsidRDefault="00C95170" w:rsidP="003A5C13">
      <w:pPr>
        <w:spacing w:after="120"/>
      </w:pPr>
    </w:p>
    <w:p w14:paraId="6414929B" w14:textId="0814C3B0" w:rsidR="000B2CBF" w:rsidRDefault="000B2CBF" w:rsidP="003A5C13">
      <w:pPr>
        <w:spacing w:after="120"/>
      </w:pPr>
      <w:r>
        <w:t>Based on these observation</w:t>
      </w:r>
      <w:r w:rsidR="00FA22EE">
        <w:t>s</w:t>
      </w:r>
      <w:r>
        <w:t>, RAN3 should consider means to avoid PCI collisions between mobile IAB-node and stationary network as well as between mobile IAB-nodes.</w:t>
      </w:r>
    </w:p>
    <w:p w14:paraId="12DDC7D0" w14:textId="1EC8F9EA" w:rsidR="000B2CBF" w:rsidRDefault="000B2CBF" w:rsidP="000B2CBF">
      <w:pPr>
        <w:spacing w:after="120"/>
      </w:pPr>
      <w:r>
        <w:t>PCI collisions can be avoided through portioning of the PCI space among mobile IAB-nodes and cells of the stationary network. With only 1008 PCI values, such partitioning does not sufficiently scale.</w:t>
      </w:r>
    </w:p>
    <w:p w14:paraId="6E155DF6" w14:textId="7C4C0293" w:rsidR="000B2CBF" w:rsidRPr="000B2CBF" w:rsidRDefault="000B2CBF" w:rsidP="000B2CBF">
      <w:pPr>
        <w:spacing w:after="120"/>
        <w:rPr>
          <w:b/>
          <w:bCs/>
        </w:rPr>
      </w:pPr>
      <w:r w:rsidRPr="000B2CBF">
        <w:rPr>
          <w:b/>
          <w:bCs/>
        </w:rPr>
        <w:t xml:space="preserve">Observation 3: With only 1008 PCI values available, </w:t>
      </w:r>
      <w:r w:rsidR="00C95170">
        <w:rPr>
          <w:b/>
          <w:bCs/>
        </w:rPr>
        <w:t xml:space="preserve">PCI </w:t>
      </w:r>
      <w:r w:rsidRPr="000B2CBF">
        <w:rPr>
          <w:b/>
          <w:bCs/>
        </w:rPr>
        <w:t>partitioning to avoid PCI collision for mobile IAB is not practical</w:t>
      </w:r>
      <w:r w:rsidR="00446F14">
        <w:rPr>
          <w:b/>
          <w:bCs/>
        </w:rPr>
        <w:t xml:space="preserve"> in many scenarios</w:t>
      </w:r>
      <w:r w:rsidRPr="000B2CBF">
        <w:rPr>
          <w:b/>
          <w:bCs/>
        </w:rPr>
        <w:t xml:space="preserve">. </w:t>
      </w:r>
    </w:p>
    <w:p w14:paraId="71D86FEB" w14:textId="77777777" w:rsidR="00C95170" w:rsidRDefault="00C95170" w:rsidP="000B2CBF">
      <w:pPr>
        <w:spacing w:after="120"/>
      </w:pPr>
    </w:p>
    <w:p w14:paraId="4AB22B60" w14:textId="6C902B42" w:rsidR="000B2CBF" w:rsidRPr="00BF2ECB" w:rsidRDefault="000B2CBF" w:rsidP="000B2CBF">
      <w:pPr>
        <w:spacing w:after="120"/>
      </w:pPr>
      <w:r w:rsidRPr="00BF2ECB">
        <w:t xml:space="preserve">For that reason, means need to be sought that address PCI collision avoidance through </w:t>
      </w:r>
      <w:r w:rsidR="00FA22EE">
        <w:t xml:space="preserve">the support of </w:t>
      </w:r>
      <w:r w:rsidR="00903A7E">
        <w:t>network-controlled</w:t>
      </w:r>
      <w:r w:rsidR="00FA22EE">
        <w:t xml:space="preserve"> </w:t>
      </w:r>
      <w:r w:rsidRPr="00BF2ECB">
        <w:t xml:space="preserve">PCI </w:t>
      </w:r>
      <w:r w:rsidR="00903A7E">
        <w:t>change on the mobile IAB-DU</w:t>
      </w:r>
      <w:r w:rsidRPr="00BF2ECB">
        <w:t>.</w:t>
      </w:r>
    </w:p>
    <w:p w14:paraId="78E1A052" w14:textId="02AE3303" w:rsidR="000B2CBF" w:rsidRDefault="000B2CBF" w:rsidP="000B2CBF">
      <w:pPr>
        <w:spacing w:after="120"/>
        <w:rPr>
          <w:b/>
          <w:bCs/>
        </w:rPr>
      </w:pPr>
      <w:r w:rsidRPr="000B2CBF">
        <w:rPr>
          <w:b/>
          <w:bCs/>
        </w:rPr>
        <w:t xml:space="preserve">Proposal 1: RAN3 to </w:t>
      </w:r>
      <w:r>
        <w:rPr>
          <w:b/>
          <w:bCs/>
        </w:rPr>
        <w:t>discuss</w:t>
      </w:r>
      <w:r w:rsidRPr="000B2CBF">
        <w:rPr>
          <w:b/>
          <w:bCs/>
        </w:rPr>
        <w:t xml:space="preserve"> means to avoid PCI collisions</w:t>
      </w:r>
      <w:r w:rsidR="00BF2ECB">
        <w:rPr>
          <w:b/>
          <w:bCs/>
        </w:rPr>
        <w:t xml:space="preserve"> through </w:t>
      </w:r>
      <w:r w:rsidR="00FA22EE">
        <w:rPr>
          <w:b/>
          <w:bCs/>
        </w:rPr>
        <w:t xml:space="preserve">the support of </w:t>
      </w:r>
      <w:r w:rsidR="00903A7E">
        <w:rPr>
          <w:b/>
          <w:bCs/>
        </w:rPr>
        <w:t>network-controlled</w:t>
      </w:r>
      <w:r w:rsidR="00BF2ECB">
        <w:rPr>
          <w:b/>
          <w:bCs/>
        </w:rPr>
        <w:t xml:space="preserve"> PCI </w:t>
      </w:r>
      <w:r w:rsidR="008E7556">
        <w:rPr>
          <w:b/>
          <w:bCs/>
        </w:rPr>
        <w:t>change on the mobile IAB-DU</w:t>
      </w:r>
      <w:r w:rsidR="00BF2ECB">
        <w:rPr>
          <w:b/>
          <w:bCs/>
        </w:rPr>
        <w:t>.</w:t>
      </w:r>
    </w:p>
    <w:p w14:paraId="5EF664B5" w14:textId="77777777" w:rsidR="007D47DF" w:rsidRDefault="007D47DF" w:rsidP="000B2CBF">
      <w:pPr>
        <w:spacing w:after="120"/>
      </w:pPr>
    </w:p>
    <w:p w14:paraId="29336E91" w14:textId="5EFDAFBE" w:rsidR="00BF2ECB" w:rsidRDefault="00BF2ECB" w:rsidP="000B2CBF">
      <w:pPr>
        <w:spacing w:after="120"/>
      </w:pPr>
      <w:r w:rsidRPr="00BF2ECB">
        <w:t xml:space="preserve">The decision for </w:t>
      </w:r>
      <w:r w:rsidR="00ED1CB4">
        <w:t>network-controlled</w:t>
      </w:r>
      <w:r w:rsidR="00FA22EE">
        <w:t xml:space="preserve"> </w:t>
      </w:r>
      <w:r w:rsidRPr="00BF2ECB">
        <w:t xml:space="preserve">PCI </w:t>
      </w:r>
      <w:r w:rsidR="00ED1CB4">
        <w:t>change</w:t>
      </w:r>
      <w:r w:rsidRPr="00BF2ECB">
        <w:t xml:space="preserve"> may be based on various </w:t>
      </w:r>
      <w:r w:rsidR="00FA22EE">
        <w:t>factors</w:t>
      </w:r>
      <w:r w:rsidRPr="00BF2ECB">
        <w:t>, e.g.,</w:t>
      </w:r>
      <w:r w:rsidR="007D47DF">
        <w:t xml:space="preserve"> the</w:t>
      </w:r>
      <w:r w:rsidRPr="00BF2ECB">
        <w:t xml:space="preserve"> </w:t>
      </w:r>
      <w:r w:rsidR="00FA22EE">
        <w:t xml:space="preserve">location of the mobile IAB-node, </w:t>
      </w:r>
      <w:r w:rsidR="007D47DF">
        <w:t>the</w:t>
      </w:r>
      <w:r w:rsidR="00FA22EE">
        <w:t xml:space="preserve"> mobile IAB-MT’s current parent node</w:t>
      </w:r>
      <w:r w:rsidR="007D47DF">
        <w:t>,</w:t>
      </w:r>
      <w:r w:rsidR="00FA22EE">
        <w:t xml:space="preserve"> positioning measurements reported by the mobile IAB-MT, or information from the mobile IAB-MT’s or UEs’ measurement reports. </w:t>
      </w:r>
      <w:r w:rsidR="00903A7E">
        <w:t>This</w:t>
      </w:r>
      <w:r w:rsidR="00FA22EE">
        <w:t xml:space="preserve"> information can be obtained using l</w:t>
      </w:r>
      <w:r>
        <w:t xml:space="preserve">egacy procedures. </w:t>
      </w:r>
      <w:r w:rsidR="007D47DF">
        <w:t>En</w:t>
      </w:r>
      <w:r>
        <w:t xml:space="preserve">hancements </w:t>
      </w:r>
      <w:r w:rsidR="00FA22EE">
        <w:t xml:space="preserve">to measurements </w:t>
      </w:r>
      <w:r w:rsidR="007D47DF">
        <w:t xml:space="preserve">in support of </w:t>
      </w:r>
      <w:r w:rsidR="00FA22EE">
        <w:t>PCI collision detection should be discussed by RAN2.</w:t>
      </w:r>
      <w:r w:rsidR="00FA22EE" w:rsidRPr="00FA22EE">
        <w:t xml:space="preserve"> </w:t>
      </w:r>
      <w:r w:rsidR="007D47DF">
        <w:t>From RAN3 perspective, t</w:t>
      </w:r>
      <w:r w:rsidR="00FA22EE">
        <w:t xml:space="preserve">he decision </w:t>
      </w:r>
      <w:r w:rsidR="007D47DF">
        <w:t xml:space="preserve">on network-controlled PCI change </w:t>
      </w:r>
      <w:r w:rsidR="00FA22EE">
        <w:t>can be left up to implementation.</w:t>
      </w:r>
    </w:p>
    <w:p w14:paraId="2E85E9AB" w14:textId="50E16AE8" w:rsidR="00BF2ECB" w:rsidRDefault="00FA22EE" w:rsidP="00BF2ECB">
      <w:pPr>
        <w:spacing w:after="120"/>
        <w:rPr>
          <w:b/>
          <w:bCs/>
        </w:rPr>
      </w:pPr>
      <w:r>
        <w:rPr>
          <w:b/>
          <w:bCs/>
        </w:rPr>
        <w:t>Proposal 2</w:t>
      </w:r>
      <w:r w:rsidR="00BF2ECB" w:rsidRPr="000B2CBF">
        <w:rPr>
          <w:b/>
          <w:bCs/>
        </w:rPr>
        <w:t xml:space="preserve">: </w:t>
      </w:r>
      <w:r w:rsidR="00BF2ECB">
        <w:rPr>
          <w:b/>
          <w:bCs/>
        </w:rPr>
        <w:t xml:space="preserve">Enhancements to </w:t>
      </w:r>
      <w:r>
        <w:rPr>
          <w:b/>
          <w:bCs/>
        </w:rPr>
        <w:t>measurement</w:t>
      </w:r>
      <w:r w:rsidR="007D47DF">
        <w:rPr>
          <w:b/>
          <w:bCs/>
        </w:rPr>
        <w:t>s</w:t>
      </w:r>
      <w:r w:rsidR="00903A7E">
        <w:rPr>
          <w:b/>
          <w:bCs/>
        </w:rPr>
        <w:t xml:space="preserve"> in</w:t>
      </w:r>
      <w:r>
        <w:rPr>
          <w:b/>
          <w:bCs/>
        </w:rPr>
        <w:t xml:space="preserve"> support </w:t>
      </w:r>
      <w:r w:rsidR="00903A7E">
        <w:rPr>
          <w:b/>
          <w:bCs/>
        </w:rPr>
        <w:t xml:space="preserve">of </w:t>
      </w:r>
      <w:r w:rsidR="007D47DF" w:rsidRPr="007D47DF">
        <w:rPr>
          <w:b/>
          <w:bCs/>
        </w:rPr>
        <w:t xml:space="preserve">PCI collision detection </w:t>
      </w:r>
      <w:r>
        <w:rPr>
          <w:b/>
          <w:bCs/>
        </w:rPr>
        <w:t>are in RAN2 scope.</w:t>
      </w:r>
      <w:r w:rsidR="00BF2ECB">
        <w:rPr>
          <w:b/>
          <w:bCs/>
        </w:rPr>
        <w:t xml:space="preserve"> </w:t>
      </w:r>
    </w:p>
    <w:p w14:paraId="24E7C58D" w14:textId="06150F9A" w:rsidR="00FA22EE" w:rsidRDefault="00FA22EE" w:rsidP="00FA22EE">
      <w:pPr>
        <w:spacing w:after="120"/>
        <w:rPr>
          <w:b/>
          <w:bCs/>
        </w:rPr>
      </w:pPr>
      <w:r>
        <w:rPr>
          <w:b/>
          <w:bCs/>
        </w:rPr>
        <w:lastRenderedPageBreak/>
        <w:t>Proposal 3</w:t>
      </w:r>
      <w:r w:rsidRPr="000B2CBF">
        <w:rPr>
          <w:b/>
          <w:bCs/>
        </w:rPr>
        <w:t xml:space="preserve">: </w:t>
      </w:r>
      <w:r>
        <w:rPr>
          <w:b/>
          <w:bCs/>
        </w:rPr>
        <w:t xml:space="preserve">The decision on </w:t>
      </w:r>
      <w:r w:rsidR="00ED1CB4">
        <w:rPr>
          <w:b/>
          <w:bCs/>
        </w:rPr>
        <w:t>network-controlled</w:t>
      </w:r>
      <w:r>
        <w:rPr>
          <w:b/>
          <w:bCs/>
        </w:rPr>
        <w:t xml:space="preserve"> PCI </w:t>
      </w:r>
      <w:r w:rsidR="00ED1CB4">
        <w:rPr>
          <w:b/>
          <w:bCs/>
        </w:rPr>
        <w:t>change</w:t>
      </w:r>
      <w:r>
        <w:rPr>
          <w:b/>
          <w:bCs/>
        </w:rPr>
        <w:t xml:space="preserve"> is</w:t>
      </w:r>
      <w:r w:rsidR="00E92B2F">
        <w:rPr>
          <w:b/>
          <w:bCs/>
        </w:rPr>
        <w:t xml:space="preserve"> conducted by the IAB-donor-CU-CP</w:t>
      </w:r>
      <w:r w:rsidR="00E57998">
        <w:rPr>
          <w:b/>
          <w:bCs/>
        </w:rPr>
        <w:t>,</w:t>
      </w:r>
      <w:r w:rsidR="00E92B2F">
        <w:rPr>
          <w:b/>
          <w:bCs/>
        </w:rPr>
        <w:t xml:space="preserve"> and it is up to implementation</w:t>
      </w:r>
      <w:r>
        <w:rPr>
          <w:b/>
          <w:bCs/>
        </w:rPr>
        <w:t xml:space="preserve">. </w:t>
      </w:r>
    </w:p>
    <w:p w14:paraId="025C2AEF" w14:textId="77777777" w:rsidR="00FA22EE" w:rsidRDefault="00FA22EE" w:rsidP="00BF2ECB">
      <w:pPr>
        <w:spacing w:after="120"/>
        <w:rPr>
          <w:b/>
          <w:bCs/>
        </w:rPr>
      </w:pPr>
    </w:p>
    <w:p w14:paraId="014D9FBD" w14:textId="71042E21" w:rsidR="00BF2ECB" w:rsidRPr="00BF2ECB" w:rsidRDefault="00E92B2F" w:rsidP="00BF2ECB">
      <w:pPr>
        <w:spacing w:after="120"/>
      </w:pPr>
      <w:r>
        <w:t>Presently</w:t>
      </w:r>
      <w:r w:rsidR="00BF2ECB" w:rsidRPr="00BF2ECB">
        <w:t xml:space="preserve">, the PCI of a cell can be reconfigured via F1AP. However, </w:t>
      </w:r>
      <w:r w:rsidR="00E30F23">
        <w:t>in case</w:t>
      </w:r>
      <w:r w:rsidR="00BF2ECB" w:rsidRPr="00BF2ECB">
        <w:t xml:space="preserve"> such </w:t>
      </w:r>
      <w:r w:rsidR="00E30F23">
        <w:t xml:space="preserve">a PCI </w:t>
      </w:r>
      <w:r w:rsidR="00BF2ECB" w:rsidRPr="00BF2ECB">
        <w:t>reconfiguration is performed</w:t>
      </w:r>
      <w:r w:rsidR="00E30F23">
        <w:t>,</w:t>
      </w:r>
      <w:r w:rsidR="00BF2ECB" w:rsidRPr="00BF2ECB">
        <w:t xml:space="preserve"> all </w:t>
      </w:r>
      <w:r w:rsidR="00E30F23" w:rsidRPr="00BF2ECB">
        <w:t xml:space="preserve">connected </w:t>
      </w:r>
      <w:r w:rsidR="00BF2ECB" w:rsidRPr="00BF2ECB">
        <w:t xml:space="preserve">UEs will undergo RLF. </w:t>
      </w:r>
      <w:r w:rsidR="00E30F23">
        <w:t>This</w:t>
      </w:r>
      <w:r w:rsidR="00BF2ECB" w:rsidRPr="00BF2ECB">
        <w:t xml:space="preserve"> solution is not </w:t>
      </w:r>
      <w:r w:rsidR="00E30F23">
        <w:t>desirable</w:t>
      </w:r>
      <w:r w:rsidR="00BF2ECB" w:rsidRPr="00BF2ECB">
        <w:t xml:space="preserve">. </w:t>
      </w:r>
    </w:p>
    <w:p w14:paraId="0066C80E" w14:textId="7F9E6396" w:rsidR="00BF2ECB" w:rsidRDefault="00BF2ECB" w:rsidP="000B2CBF">
      <w:pPr>
        <w:spacing w:after="120"/>
        <w:rPr>
          <w:b/>
          <w:bCs/>
        </w:rPr>
      </w:pPr>
      <w:r w:rsidRPr="000B2CBF">
        <w:rPr>
          <w:b/>
          <w:bCs/>
        </w:rPr>
        <w:t xml:space="preserve">Proposal </w:t>
      </w:r>
      <w:r w:rsidR="00E92B2F">
        <w:rPr>
          <w:b/>
          <w:bCs/>
        </w:rPr>
        <w:t>4</w:t>
      </w:r>
      <w:r w:rsidRPr="000B2CBF">
        <w:rPr>
          <w:b/>
          <w:bCs/>
        </w:rPr>
        <w:t xml:space="preserve">: </w:t>
      </w:r>
      <w:r w:rsidR="00E30F23">
        <w:rPr>
          <w:b/>
          <w:bCs/>
        </w:rPr>
        <w:t>Network-controlled</w:t>
      </w:r>
      <w:r>
        <w:rPr>
          <w:b/>
          <w:bCs/>
        </w:rPr>
        <w:t xml:space="preserve"> PCI </w:t>
      </w:r>
      <w:r w:rsidR="00E30F23">
        <w:rPr>
          <w:b/>
          <w:bCs/>
        </w:rPr>
        <w:t>change</w:t>
      </w:r>
      <w:r w:rsidR="00E92B2F">
        <w:rPr>
          <w:b/>
          <w:bCs/>
        </w:rPr>
        <w:t xml:space="preserve"> of the mobile IAB-DU</w:t>
      </w:r>
      <w:r>
        <w:rPr>
          <w:b/>
          <w:bCs/>
        </w:rPr>
        <w:t xml:space="preserve"> should </w:t>
      </w:r>
      <w:r w:rsidR="00E30F23">
        <w:rPr>
          <w:b/>
          <w:bCs/>
        </w:rPr>
        <w:t xml:space="preserve">aim to </w:t>
      </w:r>
      <w:r>
        <w:rPr>
          <w:b/>
          <w:bCs/>
        </w:rPr>
        <w:t xml:space="preserve">avoid </w:t>
      </w:r>
      <w:r w:rsidR="00E92B2F">
        <w:rPr>
          <w:b/>
          <w:bCs/>
        </w:rPr>
        <w:t>RLF for the connected UEs</w:t>
      </w:r>
      <w:r>
        <w:rPr>
          <w:b/>
          <w:bCs/>
        </w:rPr>
        <w:t>.</w:t>
      </w:r>
    </w:p>
    <w:p w14:paraId="54C17B21" w14:textId="6EAEB64D" w:rsidR="009F799D" w:rsidRDefault="00E92B2F" w:rsidP="00E92B2F">
      <w:pPr>
        <w:spacing w:after="120"/>
      </w:pPr>
      <w:r>
        <w:t>It is possible to avoid RLF for connected UEs if the mobile IAB-DU activates the cell with the new PCI before it releases the cell with the old PCI. During the concurrent support of both cells, the UEs can be handed over between both cells</w:t>
      </w:r>
      <w:r w:rsidR="00E30F23">
        <w:t xml:space="preserve"> using legacy procedures</w:t>
      </w:r>
      <w:r>
        <w:t xml:space="preserve">. </w:t>
      </w:r>
      <w:r w:rsidR="00D641AE">
        <w:t xml:space="preserve">Such a </w:t>
      </w:r>
      <w:r w:rsidR="00E30F23">
        <w:t>cell-change mechanism</w:t>
      </w:r>
      <w:r w:rsidR="00D641AE">
        <w:t xml:space="preserve"> </w:t>
      </w:r>
      <w:r w:rsidR="00D90718">
        <w:t>has already been</w:t>
      </w:r>
      <w:r w:rsidR="00D641AE">
        <w:t xml:space="preserve"> </w:t>
      </w:r>
      <w:r w:rsidR="00D90718">
        <w:t>discussed</w:t>
      </w:r>
      <w:r w:rsidR="00D641AE">
        <w:t xml:space="preserve"> </w:t>
      </w:r>
      <w:r w:rsidR="00E30F23">
        <w:t>in the context</w:t>
      </w:r>
      <w:r w:rsidR="00D90718">
        <w:t xml:space="preserve"> of</w:t>
      </w:r>
      <w:r w:rsidR="00D641AE">
        <w:t xml:space="preserve"> full migration</w:t>
      </w:r>
      <w:r w:rsidR="00D90718">
        <w:t xml:space="preserve">. Opposed to full migration, </w:t>
      </w:r>
      <w:r w:rsidR="00E30F23">
        <w:t>network-controlled</w:t>
      </w:r>
      <w:r w:rsidR="00D90718">
        <w:t xml:space="preserve"> PCI </w:t>
      </w:r>
      <w:r w:rsidR="00E30F23">
        <w:t>change</w:t>
      </w:r>
      <w:r w:rsidR="00D90718">
        <w:t xml:space="preserve"> </w:t>
      </w:r>
      <w:r w:rsidR="00E30F23">
        <w:t>can also</w:t>
      </w:r>
      <w:r w:rsidR="00D90718">
        <w:t xml:space="preserve"> be </w:t>
      </w:r>
      <w:r w:rsidR="00E30F23">
        <w:t>supported</w:t>
      </w:r>
      <w:r w:rsidR="00D90718">
        <w:t xml:space="preserve"> while the mobile IAB-DU remains connected to the same CU</w:t>
      </w:r>
      <w:r w:rsidR="009F799D">
        <w:t>.</w:t>
      </w:r>
    </w:p>
    <w:p w14:paraId="3D0AEDDC" w14:textId="4932A684" w:rsidR="009F799D" w:rsidRDefault="009F799D" w:rsidP="00E92B2F">
      <w:pPr>
        <w:spacing w:after="120"/>
      </w:pPr>
      <w:r>
        <w:t>Opposed to full migration, dynamic PCI reconfiguration does not require establishment of a secondary F1-C connection. Further, all configuration, i.e., activation of the new cell, UE handover and deactivation of the old cell, can be performed by the same CU.</w:t>
      </w:r>
    </w:p>
    <w:p w14:paraId="6A60305B" w14:textId="77777777" w:rsidR="000742E4" w:rsidRDefault="000742E4" w:rsidP="000742E4">
      <w:pPr>
        <w:spacing w:after="120"/>
        <w:rPr>
          <w:b/>
          <w:bCs/>
        </w:rPr>
      </w:pPr>
      <w:r w:rsidRPr="000B2CBF">
        <w:rPr>
          <w:b/>
          <w:bCs/>
        </w:rPr>
        <w:t xml:space="preserve">Proposal </w:t>
      </w:r>
      <w:r>
        <w:rPr>
          <w:b/>
          <w:bCs/>
        </w:rPr>
        <w:t>5</w:t>
      </w:r>
      <w:r w:rsidRPr="000B2CBF">
        <w:rPr>
          <w:b/>
          <w:bCs/>
        </w:rPr>
        <w:t xml:space="preserve">: </w:t>
      </w:r>
      <w:r>
        <w:rPr>
          <w:b/>
          <w:bCs/>
        </w:rPr>
        <w:t>Network-controlled PCI change should also be supported without inter-donor full migration.</w:t>
      </w:r>
    </w:p>
    <w:p w14:paraId="3C6C1B3B" w14:textId="21A8E9D7" w:rsidR="00BF2ECB" w:rsidRDefault="00176A6D" w:rsidP="000B2CBF">
      <w:pPr>
        <w:spacing w:after="120"/>
      </w:pPr>
      <w:r>
        <w:rPr>
          <w:b/>
          <w:bCs/>
        </w:rPr>
        <w:t xml:space="preserve">Proposal </w:t>
      </w:r>
      <w:r w:rsidR="009F799D">
        <w:rPr>
          <w:b/>
          <w:bCs/>
        </w:rPr>
        <w:t>6</w:t>
      </w:r>
      <w:r>
        <w:rPr>
          <w:b/>
          <w:bCs/>
        </w:rPr>
        <w:t xml:space="preserve">: </w:t>
      </w:r>
      <w:r w:rsidR="00E30F23">
        <w:rPr>
          <w:b/>
          <w:bCs/>
        </w:rPr>
        <w:t xml:space="preserve">Network-controlled PCI change </w:t>
      </w:r>
      <w:r w:rsidR="009F799D">
        <w:rPr>
          <w:b/>
          <w:bCs/>
        </w:rPr>
        <w:t xml:space="preserve">to </w:t>
      </w:r>
      <w:r w:rsidR="00E30F23">
        <w:rPr>
          <w:b/>
          <w:bCs/>
        </w:rPr>
        <w:t>use</w:t>
      </w:r>
      <w:r w:rsidR="009F799D">
        <w:rPr>
          <w:b/>
          <w:bCs/>
        </w:rPr>
        <w:t xml:space="preserve"> inter-cell UE handover </w:t>
      </w:r>
      <w:r w:rsidR="00E30F23">
        <w:rPr>
          <w:b/>
          <w:bCs/>
        </w:rPr>
        <w:t>following legacy procedures</w:t>
      </w:r>
      <w:r>
        <w:rPr>
          <w:b/>
          <w:bCs/>
        </w:rPr>
        <w:t>.</w:t>
      </w:r>
    </w:p>
    <w:p w14:paraId="0D33BDD5" w14:textId="77777777" w:rsidR="00BF2ECB" w:rsidRPr="00BF2ECB" w:rsidRDefault="00BF2ECB" w:rsidP="000B2CBF">
      <w:pPr>
        <w:spacing w:after="120"/>
      </w:pPr>
    </w:p>
    <w:p w14:paraId="7BB5C1D4" w14:textId="77777777" w:rsidR="00BF2ECB" w:rsidRPr="000B2CBF" w:rsidRDefault="00BF2ECB" w:rsidP="000B2CBF">
      <w:pPr>
        <w:spacing w:after="120"/>
        <w:rPr>
          <w:b/>
          <w:bCs/>
        </w:rPr>
      </w:pPr>
    </w:p>
    <w:p w14:paraId="23DA704C" w14:textId="4D63F106" w:rsidR="0096408F" w:rsidRDefault="0096408F" w:rsidP="0096408F">
      <w:pPr>
        <w:pStyle w:val="Heading1"/>
      </w:pPr>
      <w:r>
        <w:t>Conclusion</w:t>
      </w:r>
    </w:p>
    <w:p w14:paraId="4B36BE02" w14:textId="1475A91E" w:rsidR="0096408F" w:rsidRPr="0096408F" w:rsidRDefault="00561CD2" w:rsidP="0096408F">
      <w:pPr>
        <w:spacing w:after="0"/>
      </w:pPr>
      <w:r>
        <w:t xml:space="preserve">This contribution discussed PCI collision avoidance for mobile IAB. </w:t>
      </w:r>
      <w:r w:rsidR="0096408F">
        <w:t xml:space="preserve">The following </w:t>
      </w:r>
      <w:r>
        <w:t xml:space="preserve">observations and </w:t>
      </w:r>
      <w:r w:rsidR="0096408F">
        <w:t>proposals have been made:</w:t>
      </w:r>
    </w:p>
    <w:p w14:paraId="250BD53F" w14:textId="77777777" w:rsidR="0096408F" w:rsidRDefault="0096408F" w:rsidP="0096408F">
      <w:pPr>
        <w:spacing w:after="0"/>
      </w:pPr>
    </w:p>
    <w:p w14:paraId="4C677120" w14:textId="77777777" w:rsidR="00D80473" w:rsidRPr="000B2CBF" w:rsidRDefault="00D80473" w:rsidP="00D80473">
      <w:pPr>
        <w:spacing w:after="120"/>
        <w:rPr>
          <w:b/>
          <w:bCs/>
        </w:rPr>
      </w:pPr>
      <w:r w:rsidRPr="000B2CBF">
        <w:rPr>
          <w:b/>
          <w:bCs/>
        </w:rPr>
        <w:t xml:space="preserve">Observation 1: PCI collisions are likely to occur between mobile-IAB-node and stationary network for in-band use cases. </w:t>
      </w:r>
    </w:p>
    <w:p w14:paraId="376BA62D" w14:textId="77777777" w:rsidR="00D80473" w:rsidRPr="000B2CBF" w:rsidRDefault="00D80473" w:rsidP="00D80473">
      <w:pPr>
        <w:spacing w:after="120"/>
        <w:rPr>
          <w:b/>
          <w:bCs/>
        </w:rPr>
      </w:pPr>
      <w:r w:rsidRPr="000B2CBF">
        <w:rPr>
          <w:b/>
          <w:bCs/>
        </w:rPr>
        <w:t xml:space="preserve">Observation 2: PCI collisions are likely to occur between mobile-IAB-nodes if they approach close vicinity. </w:t>
      </w:r>
    </w:p>
    <w:p w14:paraId="2764EA56" w14:textId="77777777" w:rsidR="00D80473" w:rsidRPr="000B2CBF" w:rsidRDefault="00D80473" w:rsidP="00D80473">
      <w:pPr>
        <w:spacing w:after="120"/>
        <w:rPr>
          <w:b/>
          <w:bCs/>
        </w:rPr>
      </w:pPr>
      <w:r w:rsidRPr="000B2CBF">
        <w:rPr>
          <w:b/>
          <w:bCs/>
        </w:rPr>
        <w:t xml:space="preserve">Observation 3: With only 1008 PCI values available, </w:t>
      </w:r>
      <w:r>
        <w:rPr>
          <w:b/>
          <w:bCs/>
        </w:rPr>
        <w:t xml:space="preserve">PCI </w:t>
      </w:r>
      <w:r w:rsidRPr="000B2CBF">
        <w:rPr>
          <w:b/>
          <w:bCs/>
        </w:rPr>
        <w:t>partitioning to avoid PCI collision for mobile IAB is not practical</w:t>
      </w:r>
      <w:r>
        <w:rPr>
          <w:b/>
          <w:bCs/>
        </w:rPr>
        <w:t xml:space="preserve"> in many scenarios</w:t>
      </w:r>
      <w:r w:rsidRPr="000B2CBF">
        <w:rPr>
          <w:b/>
          <w:bCs/>
        </w:rPr>
        <w:t xml:space="preserve">. </w:t>
      </w:r>
    </w:p>
    <w:p w14:paraId="45D801A2" w14:textId="77777777" w:rsidR="00D80473" w:rsidRDefault="00D80473" w:rsidP="00D80473">
      <w:pPr>
        <w:spacing w:after="120"/>
        <w:rPr>
          <w:b/>
          <w:bCs/>
        </w:rPr>
      </w:pPr>
    </w:p>
    <w:p w14:paraId="564DC2C7" w14:textId="20039E2E" w:rsidR="00D80473" w:rsidRDefault="00D80473" w:rsidP="00D80473">
      <w:pPr>
        <w:spacing w:after="120"/>
        <w:rPr>
          <w:b/>
          <w:bCs/>
        </w:rPr>
      </w:pPr>
      <w:r w:rsidRPr="000B2CBF">
        <w:rPr>
          <w:b/>
          <w:bCs/>
        </w:rPr>
        <w:t xml:space="preserve">Proposal 1: RAN3 to </w:t>
      </w:r>
      <w:r>
        <w:rPr>
          <w:b/>
          <w:bCs/>
        </w:rPr>
        <w:t>discuss</w:t>
      </w:r>
      <w:r w:rsidRPr="000B2CBF">
        <w:rPr>
          <w:b/>
          <w:bCs/>
        </w:rPr>
        <w:t xml:space="preserve"> means to avoid PCI collisions</w:t>
      </w:r>
      <w:r>
        <w:rPr>
          <w:b/>
          <w:bCs/>
        </w:rPr>
        <w:t xml:space="preserve"> through the support of network-controlled PCI change on the mobile IAB-DU.</w:t>
      </w:r>
    </w:p>
    <w:p w14:paraId="3CF96DA4" w14:textId="77777777" w:rsidR="00D80473" w:rsidRDefault="00D80473" w:rsidP="00D80473">
      <w:pPr>
        <w:spacing w:after="120"/>
        <w:rPr>
          <w:b/>
          <w:bCs/>
        </w:rPr>
      </w:pPr>
      <w:r>
        <w:rPr>
          <w:b/>
          <w:bCs/>
        </w:rPr>
        <w:t>Proposal 2</w:t>
      </w:r>
      <w:r w:rsidRPr="000B2CBF">
        <w:rPr>
          <w:b/>
          <w:bCs/>
        </w:rPr>
        <w:t xml:space="preserve">: </w:t>
      </w:r>
      <w:r>
        <w:rPr>
          <w:b/>
          <w:bCs/>
        </w:rPr>
        <w:t xml:space="preserve">Enhancements to measurements in support of </w:t>
      </w:r>
      <w:r w:rsidRPr="007D47DF">
        <w:rPr>
          <w:b/>
          <w:bCs/>
        </w:rPr>
        <w:t xml:space="preserve">PCI collision detection </w:t>
      </w:r>
      <w:r>
        <w:rPr>
          <w:b/>
          <w:bCs/>
        </w:rPr>
        <w:t xml:space="preserve">are in RAN2 scope. </w:t>
      </w:r>
    </w:p>
    <w:p w14:paraId="47EFF9E7" w14:textId="77777777" w:rsidR="00D80473" w:rsidRDefault="00D80473" w:rsidP="00D80473">
      <w:pPr>
        <w:spacing w:after="120"/>
        <w:rPr>
          <w:b/>
          <w:bCs/>
        </w:rPr>
      </w:pPr>
      <w:r>
        <w:rPr>
          <w:b/>
          <w:bCs/>
        </w:rPr>
        <w:t>Proposal 3</w:t>
      </w:r>
      <w:r w:rsidRPr="000B2CBF">
        <w:rPr>
          <w:b/>
          <w:bCs/>
        </w:rPr>
        <w:t xml:space="preserve">: </w:t>
      </w:r>
      <w:r>
        <w:rPr>
          <w:b/>
          <w:bCs/>
        </w:rPr>
        <w:t xml:space="preserve">The decision on network-controlled PCI change is conducted by the IAB-donor-CU-CP, and it is up to implementation. </w:t>
      </w:r>
    </w:p>
    <w:p w14:paraId="6A49A1D3" w14:textId="77777777" w:rsidR="00D80473" w:rsidRDefault="00D80473" w:rsidP="00D80473">
      <w:pPr>
        <w:spacing w:after="120"/>
        <w:rPr>
          <w:b/>
          <w:bCs/>
        </w:rPr>
      </w:pPr>
      <w:r w:rsidRPr="000B2CBF">
        <w:rPr>
          <w:b/>
          <w:bCs/>
        </w:rPr>
        <w:t xml:space="preserve">Proposal </w:t>
      </w:r>
      <w:r>
        <w:rPr>
          <w:b/>
          <w:bCs/>
        </w:rPr>
        <w:t>4</w:t>
      </w:r>
      <w:r w:rsidRPr="000B2CBF">
        <w:rPr>
          <w:b/>
          <w:bCs/>
        </w:rPr>
        <w:t xml:space="preserve">: </w:t>
      </w:r>
      <w:r>
        <w:rPr>
          <w:b/>
          <w:bCs/>
        </w:rPr>
        <w:t>Network-controlled PCI change of the mobile IAB-DU should aim to avoid RLF for the connected UEs.</w:t>
      </w:r>
    </w:p>
    <w:p w14:paraId="74CEA8CA" w14:textId="77777777" w:rsidR="00D80473" w:rsidRDefault="00D80473" w:rsidP="00D80473">
      <w:pPr>
        <w:spacing w:after="120"/>
        <w:rPr>
          <w:b/>
          <w:bCs/>
        </w:rPr>
      </w:pPr>
      <w:r w:rsidRPr="000B2CBF">
        <w:rPr>
          <w:b/>
          <w:bCs/>
        </w:rPr>
        <w:t xml:space="preserve">Proposal </w:t>
      </w:r>
      <w:r>
        <w:rPr>
          <w:b/>
          <w:bCs/>
        </w:rPr>
        <w:t>5</w:t>
      </w:r>
      <w:r w:rsidRPr="000B2CBF">
        <w:rPr>
          <w:b/>
          <w:bCs/>
        </w:rPr>
        <w:t xml:space="preserve">: </w:t>
      </w:r>
      <w:r>
        <w:rPr>
          <w:b/>
          <w:bCs/>
        </w:rPr>
        <w:t>Network-controlled PCI change should also be supported without inter-donor full migration.</w:t>
      </w:r>
    </w:p>
    <w:p w14:paraId="372E3B3B" w14:textId="77777777" w:rsidR="00D80473" w:rsidRDefault="00D80473" w:rsidP="00D80473">
      <w:pPr>
        <w:spacing w:after="120"/>
      </w:pPr>
      <w:r>
        <w:rPr>
          <w:b/>
          <w:bCs/>
        </w:rPr>
        <w:t>Proposal 6: Network-controlled PCI change to use inter-cell UE handover following legacy procedures.</w:t>
      </w:r>
    </w:p>
    <w:p w14:paraId="03A30501" w14:textId="77777777" w:rsidR="00D80473" w:rsidRPr="00BF2ECB" w:rsidRDefault="00D80473" w:rsidP="00D80473">
      <w:pPr>
        <w:spacing w:after="120"/>
      </w:pPr>
    </w:p>
    <w:p w14:paraId="7F9A5B2E" w14:textId="77777777" w:rsidR="00CD4C7B" w:rsidRPr="00320A6B" w:rsidRDefault="00CD4C7B" w:rsidP="00CD4C7B">
      <w:pPr>
        <w:pStyle w:val="Heading1"/>
      </w:pPr>
      <w:r w:rsidRPr="00320A6B">
        <w:t>References</w:t>
      </w:r>
    </w:p>
    <w:p w14:paraId="18A46778" w14:textId="1A4BD079"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sidRPr="00F04C08">
        <w:rPr>
          <w:lang w:eastAsia="zh-CN"/>
        </w:rPr>
        <w:t>RP-2</w:t>
      </w:r>
      <w:r w:rsidR="00EA0AAF">
        <w:rPr>
          <w:lang w:eastAsia="zh-CN"/>
        </w:rPr>
        <w:t>21815</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EA0AAF">
        <w:rPr>
          <w:lang w:val="en-US" w:eastAsia="zh-CN"/>
        </w:rPr>
        <w:t>6</w:t>
      </w:r>
      <w:r w:rsidR="00167A87" w:rsidRPr="00F04C08">
        <w:rPr>
          <w:lang w:val="en-US" w:eastAsia="zh-CN"/>
        </w:rPr>
        <w:t xml:space="preserve">, </w:t>
      </w:r>
      <w:r w:rsidR="00EA0AAF">
        <w:rPr>
          <w:lang w:val="en-US" w:eastAsia="zh-CN"/>
        </w:rPr>
        <w:t>Budapest, Hungary, June 6 - 9</w:t>
      </w:r>
      <w:r w:rsidR="00167A87" w:rsidRPr="00F04C08">
        <w:rPr>
          <w:lang w:val="en-US" w:eastAsia="zh-CN"/>
        </w:rPr>
        <w:t>, 20</w:t>
      </w:r>
      <w:r w:rsidR="0036720B" w:rsidRPr="00F04C08">
        <w:rPr>
          <w:lang w:val="en-US" w:eastAsia="zh-CN"/>
        </w:rPr>
        <w:t>2</w:t>
      </w:r>
      <w:r w:rsidR="00EA0AAF">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1"/>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6FDCB" w14:textId="77777777" w:rsidR="008C34C0" w:rsidRDefault="008C34C0">
      <w:r>
        <w:separator/>
      </w:r>
    </w:p>
  </w:endnote>
  <w:endnote w:type="continuationSeparator" w:id="0">
    <w:p w14:paraId="6587EE65" w14:textId="77777777" w:rsidR="008C34C0" w:rsidRDefault="008C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9732" w14:textId="77777777" w:rsidR="008C34C0" w:rsidRDefault="008C34C0">
      <w:r>
        <w:separator/>
      </w:r>
    </w:p>
  </w:footnote>
  <w:footnote w:type="continuationSeparator" w:id="0">
    <w:p w14:paraId="3815ADB5" w14:textId="77777777" w:rsidR="008C34C0" w:rsidRDefault="008C3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25"/>
  </w:num>
  <w:num w:numId="3">
    <w:abstractNumId w:val="17"/>
  </w:num>
  <w:num w:numId="4">
    <w:abstractNumId w:val="7"/>
  </w:num>
  <w:num w:numId="5">
    <w:abstractNumId w:val="0"/>
  </w:num>
  <w:num w:numId="6">
    <w:abstractNumId w:val="19"/>
  </w:num>
  <w:num w:numId="7">
    <w:abstractNumId w:val="16"/>
  </w:num>
  <w:num w:numId="8">
    <w:abstractNumId w:val="26"/>
  </w:num>
  <w:num w:numId="9">
    <w:abstractNumId w:val="12"/>
  </w:num>
  <w:num w:numId="10">
    <w:abstractNumId w:val="22"/>
  </w:num>
  <w:num w:numId="11">
    <w:abstractNumId w:val="23"/>
  </w:num>
  <w:num w:numId="12">
    <w:abstractNumId w:val="3"/>
  </w:num>
  <w:num w:numId="13">
    <w:abstractNumId w:val="15"/>
  </w:num>
  <w:num w:numId="14">
    <w:abstractNumId w:val="13"/>
  </w:num>
  <w:num w:numId="15">
    <w:abstractNumId w:val="20"/>
  </w:num>
  <w:num w:numId="16">
    <w:abstractNumId w:val="10"/>
  </w:num>
  <w:num w:numId="17">
    <w:abstractNumId w:val="14"/>
  </w:num>
  <w:num w:numId="18">
    <w:abstractNumId w:val="18"/>
  </w:num>
  <w:num w:numId="19">
    <w:abstractNumId w:val="24"/>
  </w:num>
  <w:num w:numId="20">
    <w:abstractNumId w:val="1"/>
  </w:num>
  <w:num w:numId="21">
    <w:abstractNumId w:val="2"/>
  </w:num>
  <w:num w:numId="22">
    <w:abstractNumId w:val="6"/>
  </w:num>
  <w:num w:numId="23">
    <w:abstractNumId w:val="8"/>
  </w:num>
  <w:num w:numId="24">
    <w:abstractNumId w:val="5"/>
  </w:num>
  <w:num w:numId="25">
    <w:abstractNumId w:val="9"/>
  </w:num>
  <w:num w:numId="26">
    <w:abstractNumId w:val="4"/>
  </w:num>
  <w:num w:numId="2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4A19"/>
    <w:rsid w:val="00065659"/>
    <w:rsid w:val="00065D6B"/>
    <w:rsid w:val="00066096"/>
    <w:rsid w:val="00071167"/>
    <w:rsid w:val="000716A1"/>
    <w:rsid w:val="000732E0"/>
    <w:rsid w:val="00073EB1"/>
    <w:rsid w:val="00074261"/>
    <w:rsid w:val="000742E4"/>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B0C46"/>
    <w:rsid w:val="000B19D0"/>
    <w:rsid w:val="000B2CBF"/>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1FB7"/>
    <w:rsid w:val="001224F1"/>
    <w:rsid w:val="00122700"/>
    <w:rsid w:val="00123DB1"/>
    <w:rsid w:val="001241A8"/>
    <w:rsid w:val="00124B3D"/>
    <w:rsid w:val="00126209"/>
    <w:rsid w:val="00126D29"/>
    <w:rsid w:val="00130949"/>
    <w:rsid w:val="00131495"/>
    <w:rsid w:val="00134105"/>
    <w:rsid w:val="0013487C"/>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6A6D"/>
    <w:rsid w:val="0017733D"/>
    <w:rsid w:val="0017736D"/>
    <w:rsid w:val="00181A75"/>
    <w:rsid w:val="001822E5"/>
    <w:rsid w:val="00182DE1"/>
    <w:rsid w:val="00183165"/>
    <w:rsid w:val="001833C6"/>
    <w:rsid w:val="00183953"/>
    <w:rsid w:val="00186DE6"/>
    <w:rsid w:val="00190C58"/>
    <w:rsid w:val="00194CC5"/>
    <w:rsid w:val="00194CD0"/>
    <w:rsid w:val="00196C23"/>
    <w:rsid w:val="0019788E"/>
    <w:rsid w:val="001A16DE"/>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6F14"/>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3E1"/>
    <w:rsid w:val="00551ED5"/>
    <w:rsid w:val="00551ED6"/>
    <w:rsid w:val="00551F97"/>
    <w:rsid w:val="00552D11"/>
    <w:rsid w:val="00553021"/>
    <w:rsid w:val="0056076A"/>
    <w:rsid w:val="00561CD2"/>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0730C"/>
    <w:rsid w:val="006112AF"/>
    <w:rsid w:val="00611566"/>
    <w:rsid w:val="0061168A"/>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411C"/>
    <w:rsid w:val="006454FE"/>
    <w:rsid w:val="00645D44"/>
    <w:rsid w:val="006465F3"/>
    <w:rsid w:val="00646D99"/>
    <w:rsid w:val="00647E8B"/>
    <w:rsid w:val="00650084"/>
    <w:rsid w:val="00650F33"/>
    <w:rsid w:val="00651125"/>
    <w:rsid w:val="00651930"/>
    <w:rsid w:val="00651A6B"/>
    <w:rsid w:val="00652646"/>
    <w:rsid w:val="00652CF2"/>
    <w:rsid w:val="006531CD"/>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6BA"/>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C768F"/>
    <w:rsid w:val="006D0C80"/>
    <w:rsid w:val="006D0EC9"/>
    <w:rsid w:val="006D1E24"/>
    <w:rsid w:val="006D448F"/>
    <w:rsid w:val="006D4CB0"/>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5050"/>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D40"/>
    <w:rsid w:val="00761B1F"/>
    <w:rsid w:val="007636D3"/>
    <w:rsid w:val="007658B7"/>
    <w:rsid w:val="00765E5B"/>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6CC4"/>
    <w:rsid w:val="007C77C4"/>
    <w:rsid w:val="007D107C"/>
    <w:rsid w:val="007D1FD5"/>
    <w:rsid w:val="007D309E"/>
    <w:rsid w:val="007D47DF"/>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400B"/>
    <w:rsid w:val="00805E0B"/>
    <w:rsid w:val="00806310"/>
    <w:rsid w:val="008077ED"/>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E80"/>
    <w:rsid w:val="008460EF"/>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A07BA"/>
    <w:rsid w:val="008A15D5"/>
    <w:rsid w:val="008A203C"/>
    <w:rsid w:val="008A27FC"/>
    <w:rsid w:val="008A2D12"/>
    <w:rsid w:val="008B192A"/>
    <w:rsid w:val="008B44F1"/>
    <w:rsid w:val="008B5306"/>
    <w:rsid w:val="008B681A"/>
    <w:rsid w:val="008C0E06"/>
    <w:rsid w:val="008C1A63"/>
    <w:rsid w:val="008C20F7"/>
    <w:rsid w:val="008C34C0"/>
    <w:rsid w:val="008C35C7"/>
    <w:rsid w:val="008C3F92"/>
    <w:rsid w:val="008C42B8"/>
    <w:rsid w:val="008C7888"/>
    <w:rsid w:val="008D05CE"/>
    <w:rsid w:val="008D0839"/>
    <w:rsid w:val="008D1CD5"/>
    <w:rsid w:val="008D2258"/>
    <w:rsid w:val="008D467A"/>
    <w:rsid w:val="008E131E"/>
    <w:rsid w:val="008E345E"/>
    <w:rsid w:val="008E3B19"/>
    <w:rsid w:val="008E412B"/>
    <w:rsid w:val="008E7556"/>
    <w:rsid w:val="008F2039"/>
    <w:rsid w:val="008F2BF7"/>
    <w:rsid w:val="008F2E9A"/>
    <w:rsid w:val="00901335"/>
    <w:rsid w:val="0090187C"/>
    <w:rsid w:val="009024E8"/>
    <w:rsid w:val="0090271F"/>
    <w:rsid w:val="00902DB9"/>
    <w:rsid w:val="00903A7E"/>
    <w:rsid w:val="0090466A"/>
    <w:rsid w:val="009062D3"/>
    <w:rsid w:val="00907DD2"/>
    <w:rsid w:val="00911A3A"/>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5B30"/>
    <w:rsid w:val="0094798C"/>
    <w:rsid w:val="00952A0E"/>
    <w:rsid w:val="0095306B"/>
    <w:rsid w:val="0095382B"/>
    <w:rsid w:val="0095547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99D"/>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48B7"/>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5425"/>
    <w:rsid w:val="00A65C1F"/>
    <w:rsid w:val="00A66990"/>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4D8"/>
    <w:rsid w:val="00A9671C"/>
    <w:rsid w:val="00A9769E"/>
    <w:rsid w:val="00A97749"/>
    <w:rsid w:val="00AA1553"/>
    <w:rsid w:val="00AA423E"/>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755F"/>
    <w:rsid w:val="00B30ADA"/>
    <w:rsid w:val="00B331AE"/>
    <w:rsid w:val="00B359B7"/>
    <w:rsid w:val="00B36BDD"/>
    <w:rsid w:val="00B40C67"/>
    <w:rsid w:val="00B42667"/>
    <w:rsid w:val="00B444B8"/>
    <w:rsid w:val="00B4746E"/>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3A5F"/>
    <w:rsid w:val="00BC41B5"/>
    <w:rsid w:val="00BC5A4D"/>
    <w:rsid w:val="00BC7783"/>
    <w:rsid w:val="00BD091C"/>
    <w:rsid w:val="00BD1631"/>
    <w:rsid w:val="00BD31D3"/>
    <w:rsid w:val="00BD55FC"/>
    <w:rsid w:val="00BD6273"/>
    <w:rsid w:val="00BD67B1"/>
    <w:rsid w:val="00BE5261"/>
    <w:rsid w:val="00BE7500"/>
    <w:rsid w:val="00BE7B3F"/>
    <w:rsid w:val="00BF2ECB"/>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8CA"/>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5170"/>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1AE"/>
    <w:rsid w:val="00D64B2D"/>
    <w:rsid w:val="00D66F34"/>
    <w:rsid w:val="00D679C7"/>
    <w:rsid w:val="00D738D6"/>
    <w:rsid w:val="00D742F4"/>
    <w:rsid w:val="00D75638"/>
    <w:rsid w:val="00D80473"/>
    <w:rsid w:val="00D80795"/>
    <w:rsid w:val="00D80F5E"/>
    <w:rsid w:val="00D8694E"/>
    <w:rsid w:val="00D870B2"/>
    <w:rsid w:val="00D87A08"/>
    <w:rsid w:val="00D87E00"/>
    <w:rsid w:val="00D90718"/>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0F23"/>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998"/>
    <w:rsid w:val="00E60CAF"/>
    <w:rsid w:val="00E61B39"/>
    <w:rsid w:val="00E61C08"/>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2B2F"/>
    <w:rsid w:val="00E9444B"/>
    <w:rsid w:val="00E94C85"/>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CB4"/>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587D"/>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777E4"/>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10</cp:revision>
  <dcterms:created xsi:type="dcterms:W3CDTF">2022-08-03T22:11:00Z</dcterms:created>
  <dcterms:modified xsi:type="dcterms:W3CDTF">2022-08-08T16:47:00Z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